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-289" w:tblpY="1"/>
        <w:tblOverlap w:val="never"/>
        <w:tblW w:w="14879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85" w:type="dxa"/>
          <w:right w:w="10" w:type="dxa"/>
        </w:tblCellMar>
        <w:tblLook w:val="0000" w:firstRow="0" w:lastRow="0" w:firstColumn="0" w:lastColumn="0" w:noHBand="0" w:noVBand="0"/>
      </w:tblPr>
      <w:tblGrid>
        <w:gridCol w:w="6252"/>
        <w:gridCol w:w="2248"/>
        <w:gridCol w:w="4111"/>
        <w:gridCol w:w="1559"/>
        <w:gridCol w:w="709"/>
      </w:tblGrid>
      <w:tr w:rsidR="00D51A52" w:rsidRPr="007F2AEE" w14:paraId="1F95110D" w14:textId="77777777" w:rsidTr="00633D59">
        <w:trPr>
          <w:trHeight w:val="3959"/>
        </w:trPr>
        <w:tc>
          <w:tcPr>
            <w:tcW w:w="148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B5C2" w14:textId="29D17592" w:rsidR="00D51A52" w:rsidRPr="007F2AEE" w:rsidRDefault="00D51A52" w:rsidP="00A42A4F">
            <w:pPr>
              <w:shd w:val="clear" w:color="auto" w:fill="2F5496" w:themeFill="accent1" w:themeFillShade="BF"/>
              <w:rPr>
                <w:rFonts w:ascii="Barlow" w:hAnsi="Barlow"/>
              </w:rPr>
            </w:pPr>
            <w:r w:rsidRPr="007F2AEE">
              <w:rPr>
                <w:rFonts w:ascii="Barlow" w:eastAsia="Verdana" w:hAnsi="Barlow" w:cs="Verdana"/>
                <w:b/>
                <w:bCs/>
                <w:color w:val="FFFFFF" w:themeColor="background1"/>
              </w:rPr>
              <w:t xml:space="preserve">LAVORI PUBBLICI – AMBIENTE – ENERGIA </w:t>
            </w:r>
          </w:p>
          <w:p w14:paraId="2C90E0A5" w14:textId="77777777" w:rsidR="00D51A52" w:rsidRPr="007F2AEE" w:rsidRDefault="00D51A52" w:rsidP="00A42A4F">
            <w:pPr>
              <w:spacing w:before="120" w:after="120" w:line="360" w:lineRule="auto"/>
              <w:rPr>
                <w:rFonts w:ascii="Barlow" w:hAnsi="Barlow"/>
                <w:b/>
                <w:bCs/>
              </w:rPr>
            </w:pPr>
            <w:r w:rsidRPr="007F2AEE">
              <w:rPr>
                <w:rFonts w:ascii="Barlow" w:hAnsi="Barlow"/>
                <w:b/>
                <w:bCs/>
              </w:rPr>
              <w:t>Descrizione della funzione Lavori pubblici, ambiente ed energia</w:t>
            </w:r>
          </w:p>
          <w:p w14:paraId="4D06D582" w14:textId="77777777" w:rsidR="00D51A52" w:rsidRPr="007F2AEE" w:rsidRDefault="00D51A52" w:rsidP="00A42A4F">
            <w:pPr>
              <w:spacing w:before="120" w:after="120" w:line="360" w:lineRule="auto"/>
              <w:rPr>
                <w:rFonts w:ascii="Barlow" w:hAnsi="Barlow"/>
                <w:b/>
              </w:rPr>
            </w:pPr>
            <w:r w:rsidRPr="007F2AEE">
              <w:rPr>
                <w:rFonts w:ascii="Barlow" w:hAnsi="Barlow"/>
                <w:b/>
              </w:rPr>
              <w:t>La gestione associata deve comprendere in Unione la programmazione e progettazione direzione lavori delle opere pubbliche comunali e la manutenzione delle stesse, attività autorizzatoria e regolamentare in materia di ambiente, energia e viabilità, organizzazione e gestione dei rifiuti.</w:t>
            </w:r>
          </w:p>
          <w:p w14:paraId="1A39C594" w14:textId="77777777" w:rsidR="00D51A52" w:rsidRPr="007F2AEE" w:rsidRDefault="00D51A52" w:rsidP="00A42A4F">
            <w:pPr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Il conferimento all’Unione da parte dei Comuni della funzione deve riguardare le seguenti attività</w:t>
            </w:r>
            <w:r w:rsidRPr="007F2AEE">
              <w:rPr>
                <w:rFonts w:ascii="Barlow" w:hAnsi="Barlow"/>
                <w:b/>
                <w:bCs/>
              </w:rPr>
              <w:t>:</w:t>
            </w:r>
          </w:p>
          <w:p w14:paraId="355D8114" w14:textId="43F71499" w:rsidR="00D51A52" w:rsidRPr="007F2AEE" w:rsidRDefault="00FE22E4" w:rsidP="00A42A4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1276"/>
              </w:tabs>
              <w:autoSpaceDN w:val="0"/>
              <w:spacing w:after="0" w:line="360" w:lineRule="auto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7F2AEE">
              <w:rPr>
                <w:rFonts w:ascii="Barlow" w:hAnsi="Barlow"/>
                <w:sz w:val="22"/>
              </w:rPr>
              <w:t>P</w:t>
            </w:r>
            <w:r w:rsidR="00D51A52" w:rsidRPr="007F2AEE">
              <w:rPr>
                <w:rFonts w:ascii="Barlow" w:hAnsi="Barlow"/>
                <w:sz w:val="22"/>
              </w:rPr>
              <w:t>rogrammazione</w:t>
            </w:r>
            <w:r w:rsidRPr="007F2AEE">
              <w:rPr>
                <w:rFonts w:ascii="Barlow" w:hAnsi="Barlow"/>
                <w:sz w:val="22"/>
              </w:rPr>
              <w:t xml:space="preserve"> e</w:t>
            </w:r>
            <w:r w:rsidR="003C1C1E" w:rsidRPr="007F2AEE">
              <w:rPr>
                <w:rFonts w:ascii="Barlow" w:hAnsi="Barlow"/>
                <w:sz w:val="22"/>
              </w:rPr>
              <w:t xml:space="preserve"> </w:t>
            </w:r>
            <w:r w:rsidR="00D51A52" w:rsidRPr="007F2AEE">
              <w:rPr>
                <w:rFonts w:ascii="Barlow" w:hAnsi="Barlow"/>
                <w:sz w:val="22"/>
              </w:rPr>
              <w:t>progettazione, delle opere pubblich</w:t>
            </w:r>
            <w:r w:rsidR="00A42A4F" w:rsidRPr="007F2AEE">
              <w:rPr>
                <w:rFonts w:ascii="Barlow" w:hAnsi="Barlow"/>
                <w:sz w:val="22"/>
              </w:rPr>
              <w:t>e</w:t>
            </w:r>
            <w:r w:rsidR="00D51A52" w:rsidRPr="007F2AEE">
              <w:rPr>
                <w:rFonts w:ascii="Barlow" w:hAnsi="Barlow"/>
                <w:sz w:val="22"/>
              </w:rPr>
              <w:t xml:space="preserve"> comunali</w:t>
            </w:r>
            <w:r w:rsidR="00381FF8" w:rsidRPr="007F2AEE">
              <w:rPr>
                <w:rFonts w:ascii="Barlow" w:hAnsi="Barlow"/>
                <w:sz w:val="22"/>
              </w:rPr>
              <w:t>;</w:t>
            </w:r>
          </w:p>
          <w:p w14:paraId="3B170A14" w14:textId="2B1E74EC" w:rsidR="00185E6E" w:rsidRPr="007F2AEE" w:rsidRDefault="00185E6E" w:rsidP="00A42A4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1276"/>
              </w:tabs>
              <w:autoSpaceDN w:val="0"/>
              <w:spacing w:after="0" w:line="360" w:lineRule="auto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7F2AEE">
              <w:rPr>
                <w:rFonts w:ascii="Barlow" w:hAnsi="Barlow"/>
                <w:sz w:val="22"/>
              </w:rPr>
              <w:t xml:space="preserve">direzione lavori e controllo della realizzazione delle opere pubbliche comunali </w:t>
            </w:r>
            <w:r w:rsidR="00116A90" w:rsidRPr="007F2AEE">
              <w:rPr>
                <w:rFonts w:ascii="Barlow" w:hAnsi="Barlow"/>
                <w:sz w:val="22"/>
              </w:rPr>
              <w:t>nonché</w:t>
            </w:r>
            <w:r w:rsidRPr="007F2AEE">
              <w:rPr>
                <w:rFonts w:ascii="Barlow" w:hAnsi="Barlow"/>
                <w:sz w:val="22"/>
              </w:rPr>
              <w:t xml:space="preserve"> manutenzione delle stesse, compresi la cura del verde pubblico e della segnaletica stradale</w:t>
            </w:r>
            <w:r w:rsidR="006621B7" w:rsidRPr="007F2AEE">
              <w:rPr>
                <w:rFonts w:ascii="Barlow" w:hAnsi="Barlow"/>
                <w:sz w:val="22"/>
              </w:rPr>
              <w:t>,</w:t>
            </w:r>
            <w:r w:rsidRPr="007F2AEE">
              <w:rPr>
                <w:rFonts w:ascii="Barlow" w:hAnsi="Barlow"/>
                <w:sz w:val="22"/>
              </w:rPr>
              <w:t xml:space="preserve"> illuminazione pubblica e sgombero neve ed espropriazioni per pubblica utilità</w:t>
            </w:r>
            <w:r w:rsidR="00F42DB5" w:rsidRPr="007F2AEE">
              <w:rPr>
                <w:rFonts w:ascii="Barlow" w:hAnsi="Barlow"/>
                <w:sz w:val="22"/>
              </w:rPr>
              <w:t>;</w:t>
            </w:r>
          </w:p>
          <w:p w14:paraId="5F2DAC96" w14:textId="77777777" w:rsidR="00D51A52" w:rsidRPr="007F2AEE" w:rsidRDefault="00D51A52" w:rsidP="00A42A4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1276"/>
              </w:tabs>
              <w:autoSpaceDN w:val="0"/>
              <w:spacing w:after="0" w:line="360" w:lineRule="auto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7F2AEE">
              <w:rPr>
                <w:rFonts w:ascii="Barlow" w:hAnsi="Barlow"/>
                <w:sz w:val="22"/>
              </w:rPr>
              <w:t xml:space="preserve">viabilità (ordinanze regolamentazione circolazione stradale, autorizzazioni </w:t>
            </w:r>
            <w:proofErr w:type="spellStart"/>
            <w:r w:rsidRPr="007F2AEE">
              <w:rPr>
                <w:rFonts w:ascii="Barlow" w:hAnsi="Barlow"/>
                <w:sz w:val="22"/>
              </w:rPr>
              <w:t>CdS</w:t>
            </w:r>
            <w:proofErr w:type="spellEnd"/>
            <w:r w:rsidRPr="007F2AEE">
              <w:rPr>
                <w:rFonts w:ascii="Barlow" w:hAnsi="Barlow"/>
                <w:sz w:val="22"/>
              </w:rPr>
              <w:t>, concessioni di occupazione di suolo pubblico);</w:t>
            </w:r>
          </w:p>
          <w:p w14:paraId="7642EBE7" w14:textId="15B822ED" w:rsidR="00D51A52" w:rsidRPr="007F2AEE" w:rsidRDefault="00D51A52" w:rsidP="00A42A4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1276"/>
              </w:tabs>
              <w:autoSpaceDN w:val="0"/>
              <w:spacing w:after="0" w:line="360" w:lineRule="auto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7F2AEE">
              <w:rPr>
                <w:rFonts w:ascii="Barlow" w:hAnsi="Barlow"/>
                <w:sz w:val="22"/>
              </w:rPr>
              <w:t xml:space="preserve"> ambiente ed energia (autorizzazioni, pareri, controlli di competenza comunale in materia di ambiente ed energia; predisposizione di piani e programmi unici d’Unione, nelle stesse materie, PAES</w:t>
            </w:r>
            <w:r w:rsidR="00AE61F3" w:rsidRPr="007F2AEE">
              <w:rPr>
                <w:rFonts w:ascii="Barlow" w:hAnsi="Barlow"/>
                <w:sz w:val="22"/>
              </w:rPr>
              <w:t>C</w:t>
            </w:r>
            <w:r w:rsidRPr="007F2AEE">
              <w:rPr>
                <w:rFonts w:ascii="Barlow" w:hAnsi="Barlow"/>
                <w:sz w:val="22"/>
              </w:rPr>
              <w:t>)</w:t>
            </w:r>
            <w:r w:rsidR="00B5221A" w:rsidRPr="007F2AEE">
              <w:rPr>
                <w:rFonts w:ascii="Barlow" w:hAnsi="Barlow"/>
                <w:sz w:val="22"/>
              </w:rPr>
              <w:t>;</w:t>
            </w:r>
          </w:p>
          <w:p w14:paraId="0060EEF7" w14:textId="3B80AC7B" w:rsidR="00D51A52" w:rsidRPr="007F2AEE" w:rsidRDefault="00D51A52" w:rsidP="00A42A4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1276"/>
              </w:tabs>
              <w:autoSpaceDN w:val="0"/>
              <w:spacing w:after="0" w:line="360" w:lineRule="auto"/>
              <w:ind w:left="714" w:hanging="357"/>
              <w:contextualSpacing w:val="0"/>
              <w:jc w:val="both"/>
              <w:rPr>
                <w:rFonts w:ascii="Barlow" w:hAnsi="Barlow"/>
                <w:sz w:val="22"/>
              </w:rPr>
            </w:pPr>
            <w:r w:rsidRPr="007F2AEE">
              <w:rPr>
                <w:rFonts w:ascii="Barlow" w:hAnsi="Barlow"/>
                <w:sz w:val="22"/>
              </w:rPr>
              <w:t>rifiuti (organizzazione e gestione dei servizi di raccolta, avvio e smaltimento e recupero dei rifiuti urbani)</w:t>
            </w:r>
            <w:r w:rsidR="00B5221A" w:rsidRPr="007F2AEE">
              <w:rPr>
                <w:rFonts w:ascii="Barlow" w:hAnsi="Barlow"/>
                <w:sz w:val="22"/>
              </w:rPr>
              <w:t>.</w:t>
            </w:r>
          </w:p>
          <w:p w14:paraId="20F5218F" w14:textId="03EB3667" w:rsidR="00EB1BBD" w:rsidRPr="007F2AEE" w:rsidRDefault="00C60F8D" w:rsidP="00A42A4F">
            <w:pPr>
              <w:spacing w:after="0" w:line="360" w:lineRule="auto"/>
              <w:jc w:val="both"/>
              <w:rPr>
                <w:rFonts w:ascii="Barlow" w:hAnsi="Barlow" w:cs="Times New Roman"/>
              </w:rPr>
            </w:pPr>
            <w:r w:rsidRPr="007F2AEE">
              <w:rPr>
                <w:rFonts w:ascii="Barlow" w:hAnsi="Barlow" w:cs="Times New Roman"/>
              </w:rPr>
              <w:t>Entro il triennio devono essere attivate tutte le 5 attività del livello base</w:t>
            </w:r>
          </w:p>
          <w:p w14:paraId="4805BF9F" w14:textId="2D0E4094" w:rsidR="00D51A52" w:rsidRPr="007F2AEE" w:rsidRDefault="00D51A52" w:rsidP="00A42A4F">
            <w:pPr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v. schema tipo convenzione link: </w:t>
            </w:r>
            <w:hyperlink r:id="rId10" w:history="1">
              <w:r w:rsidR="00B61F0B" w:rsidRPr="00B4628E">
                <w:rPr>
                  <w:rStyle w:val="Collegamentoipertestuale"/>
                </w:rPr>
                <w:t>https://autonomie.regione.emilia-romagna.it/unioni-di-comuni/programma-di-riordino-territoriale/prt-2024-2026</w:t>
              </w:r>
            </w:hyperlink>
            <w:r w:rsidR="00B61F0B">
              <w:t xml:space="preserve"> </w:t>
            </w:r>
          </w:p>
        </w:tc>
      </w:tr>
      <w:tr w:rsidR="002F5195" w:rsidRPr="007F2AEE" w14:paraId="195D4837" w14:textId="77777777" w:rsidTr="00633D59">
        <w:trPr>
          <w:trHeight w:val="50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F4D8" w14:textId="77777777" w:rsidR="002F5195" w:rsidRPr="007F2AEE" w:rsidRDefault="002F5195" w:rsidP="00A42A4F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C322" w14:textId="77777777" w:rsidR="002F5195" w:rsidRPr="007F2AEE" w:rsidRDefault="002F5195" w:rsidP="00A42A4F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BFD3" w14:textId="3EDF7C38" w:rsidR="002F5195" w:rsidRPr="007F2AEE" w:rsidRDefault="002F5195" w:rsidP="00A42A4F">
            <w:pPr>
              <w:spacing w:after="0" w:line="245" w:lineRule="auto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e link dell’atto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FD04" w14:textId="38FCFC00" w:rsidR="002F5195" w:rsidRPr="007F2AEE" w:rsidRDefault="002F5195" w:rsidP="00A42A4F">
            <w:pPr>
              <w:rPr>
                <w:rFonts w:ascii="Barlow" w:hAnsi="Barlow"/>
                <w:color w:val="2F5496" w:themeColor="accent1" w:themeShade="BF"/>
              </w:rPr>
            </w:pPr>
            <w:r w:rsidRPr="007F2AEE">
              <w:rPr>
                <w:rFonts w:ascii="Barlow" w:hAnsi="Barlow"/>
                <w:color w:val="2F5496" w:themeColor="accent1" w:themeShade="BF"/>
              </w:rPr>
              <w:t>Contributo in% punteggio</w:t>
            </w:r>
          </w:p>
        </w:tc>
      </w:tr>
      <w:tr w:rsidR="00D51A52" w:rsidRPr="007F2AEE" w14:paraId="5E2BD22C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D94" w14:textId="13B1085E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Conferimento della funzione per le </w:t>
            </w:r>
            <w:r w:rsidR="009344A4" w:rsidRPr="007F2AEE">
              <w:rPr>
                <w:rFonts w:ascii="Barlow" w:hAnsi="Barlow"/>
              </w:rPr>
              <w:t>5</w:t>
            </w:r>
            <w:r w:rsidRPr="007F2AEE">
              <w:rPr>
                <w:rFonts w:ascii="Barlow" w:hAnsi="Barlow"/>
              </w:rPr>
              <w:t xml:space="preserve"> attività e attivazione di almeno 2 attività delle </w:t>
            </w:r>
            <w:r w:rsidR="009C1853" w:rsidRPr="007F2AEE">
              <w:rPr>
                <w:rFonts w:ascii="Barlow" w:hAnsi="Barlow"/>
              </w:rPr>
              <w:t>5</w:t>
            </w:r>
            <w:r w:rsidRPr="007F2AEE">
              <w:rPr>
                <w:rFonts w:ascii="Barlow" w:hAnsi="Barlow"/>
              </w:rPr>
              <w:t xml:space="preserve"> sopra richiamate tra le quali 1 deve essere</w:t>
            </w:r>
            <w:r w:rsidR="00C14FFC" w:rsidRPr="007F2AEE">
              <w:rPr>
                <w:rFonts w:ascii="Barlow" w:hAnsi="Barlow"/>
              </w:rPr>
              <w:t xml:space="preserve"> </w:t>
            </w:r>
            <w:r w:rsidRPr="007F2AEE">
              <w:rPr>
                <w:rFonts w:ascii="Barlow" w:hAnsi="Barlow"/>
              </w:rPr>
              <w:t>obbligatoriamente scelta tra la n.1 e la n.</w:t>
            </w:r>
            <w:r w:rsidR="0043058A" w:rsidRPr="007F2AEE">
              <w:rPr>
                <w:rFonts w:ascii="Barlow" w:hAnsi="Barlow"/>
              </w:rPr>
              <w:t>4</w:t>
            </w:r>
            <w:r w:rsidRPr="007F2AEE">
              <w:rPr>
                <w:rFonts w:ascii="Barlow" w:hAnsi="Barlow"/>
              </w:rPr>
              <w:t xml:space="preserve">. 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8811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Convenzione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AAB9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5E0A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60%</w:t>
            </w:r>
          </w:p>
        </w:tc>
        <w:tc>
          <w:tcPr>
            <w:tcW w:w="709" w:type="dxa"/>
            <w:vMerge w:val="restart"/>
            <w:vAlign w:val="center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58211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7D6F83" w14:textId="1F44EEA3" w:rsidR="00D51A52" w:rsidRPr="007F2AEE" w:rsidRDefault="002F5195" w:rsidP="00A42A4F">
                <w:pPr>
                  <w:jc w:val="center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F2AEE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D51A52" w:rsidRPr="007F2AEE" w14:paraId="670718B5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DD2A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Istituzione della struttura organizzativa in Unione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85C6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Organigramma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DDE3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28F4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EA2A" w14:textId="77777777" w:rsidR="00D51A52" w:rsidRPr="007F2AEE" w:rsidRDefault="00D51A52" w:rsidP="00A42A4F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D51A52" w:rsidRPr="007F2AEE" w14:paraId="77B70C2E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D496" w14:textId="785B1630" w:rsidR="00D51A52" w:rsidRPr="007F2AEE" w:rsidRDefault="00F869C0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R</w:t>
            </w:r>
            <w:r w:rsidR="00D51A52" w:rsidRPr="007F2AEE">
              <w:rPr>
                <w:rFonts w:ascii="Barlow" w:hAnsi="Barlow"/>
              </w:rPr>
              <w:t xml:space="preserve">esponsabile di ciascuna unità organizzativa 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497E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Atto nomina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6028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C242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551D" w14:textId="77777777" w:rsidR="00D51A52" w:rsidRPr="007F2AEE" w:rsidRDefault="00D51A52" w:rsidP="00A42A4F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D51A52" w:rsidRPr="007F2AEE" w14:paraId="1ABA32C7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27F6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Conferimento del personale (con decorrenza entro l’anno se nuova funzione)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EDE4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Atti organizzativi </w:t>
            </w:r>
          </w:p>
          <w:p w14:paraId="6F6B48C0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(personale trasferito/ Comandato)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D096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AE16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402F" w14:textId="77777777" w:rsidR="00D51A52" w:rsidRPr="007F2AEE" w:rsidRDefault="00D51A52" w:rsidP="00A42A4F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D51A52" w:rsidRPr="007F2AEE" w14:paraId="24284014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BEC0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lastRenderedPageBreak/>
              <w:t>Conferimento stanziamenti entrate/spese dai bilanci dei Comuni all’Unione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D060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Entità degli stanziamenti conferiti nel Bilancio preventivo Unione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B9D6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FABF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271B" w14:textId="77777777" w:rsidR="00D51A52" w:rsidRPr="007F2AEE" w:rsidRDefault="00D51A52" w:rsidP="00A42A4F">
            <w:pPr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</w:p>
        </w:tc>
      </w:tr>
      <w:tr w:rsidR="00D51A52" w:rsidRPr="007F2AEE" w14:paraId="32D89576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101D" w14:textId="77777777" w:rsidR="00D51A52" w:rsidRPr="007F2AEE" w:rsidRDefault="00D51A52" w:rsidP="00A42A4F">
            <w:pPr>
              <w:widowControl w:val="0"/>
              <w:tabs>
                <w:tab w:val="left" w:pos="-1276"/>
              </w:tabs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Attività autorizzatoria e procedimenti unici in capo all’Unione</w:t>
            </w:r>
          </w:p>
          <w:p w14:paraId="238A0200" w14:textId="77777777" w:rsidR="00D51A52" w:rsidRPr="007F2AEE" w:rsidRDefault="00D51A52" w:rsidP="00A42A4F">
            <w:pPr>
              <w:widowControl w:val="0"/>
              <w:tabs>
                <w:tab w:val="left" w:pos="-1276"/>
              </w:tabs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(per ciascuna materia scelta)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8F33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Procedimenti gestiti    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38CC" w14:textId="77777777" w:rsidR="00D51A52" w:rsidRPr="007F2AEE" w:rsidRDefault="00D51A52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B677" w14:textId="77777777" w:rsidR="00D51A52" w:rsidRPr="007F2AEE" w:rsidRDefault="00D51A52" w:rsidP="00A42A4F">
            <w:pPr>
              <w:jc w:val="center"/>
              <w:rPr>
                <w:rFonts w:ascii="Barlow" w:hAnsi="Barlow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B5BC" w14:textId="77777777" w:rsidR="00D51A52" w:rsidRPr="007F2AEE" w:rsidRDefault="00D51A52" w:rsidP="00A42A4F">
            <w:pPr>
              <w:jc w:val="center"/>
              <w:rPr>
                <w:rFonts w:ascii="Barlow" w:hAnsi="Barlow"/>
                <w:color w:val="2F5496" w:themeColor="accent1" w:themeShade="BF"/>
              </w:rPr>
            </w:pPr>
          </w:p>
        </w:tc>
      </w:tr>
      <w:tr w:rsidR="00D51A52" w:rsidRPr="007F2AEE" w14:paraId="5E3F9D62" w14:textId="77777777" w:rsidTr="00633D59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9121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r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Azioni obbligatorie per accedere all’incentivo (livello base) (continua)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80D7" w14:textId="77777777" w:rsidR="00D51A52" w:rsidRPr="007F2AEE" w:rsidRDefault="00D51A52" w:rsidP="00A42A4F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C0D9" w14:textId="427895F6" w:rsidR="00D51A52" w:rsidRPr="007F2AEE" w:rsidRDefault="00D51A52" w:rsidP="00A42A4F">
            <w:pPr>
              <w:jc w:val="center"/>
              <w:rPr>
                <w:rFonts w:ascii="Barlow" w:hAnsi="Barlow"/>
                <w:color w:val="2F5496" w:themeColor="accent1" w:themeShade="BF"/>
              </w:rPr>
            </w:pPr>
            <w:r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2F5195"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31B3" w14:textId="77777777" w:rsidR="00D51A52" w:rsidRPr="007F2AEE" w:rsidRDefault="00D51A52" w:rsidP="00A42A4F">
            <w:pPr>
              <w:spacing w:after="0" w:line="245" w:lineRule="auto"/>
              <w:jc w:val="center"/>
              <w:rPr>
                <w:rFonts w:ascii="Barlow" w:hAnsi="Barlow" w:cs="Times New Roman"/>
                <w:color w:val="2F5496" w:themeColor="accent1" w:themeShade="BF"/>
              </w:rPr>
            </w:pPr>
          </w:p>
        </w:tc>
      </w:tr>
      <w:tr w:rsidR="00A42A4F" w:rsidRPr="007F2AEE" w14:paraId="027B888E" w14:textId="77777777" w:rsidTr="00071227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8E18" w14:textId="330B85AD" w:rsidR="00A42A4F" w:rsidRPr="007F2AEE" w:rsidRDefault="00A42A4F" w:rsidP="00A42A4F">
            <w:pPr>
              <w:spacing w:after="0" w:line="245" w:lineRule="auto"/>
              <w:rPr>
                <w:rFonts w:ascii="Barlow" w:hAnsi="Barlow"/>
                <w:color w:val="538135" w:themeColor="accent6" w:themeShade="BF"/>
              </w:rPr>
            </w:pPr>
            <w:r w:rsidRPr="007F2AEE">
              <w:rPr>
                <w:rFonts w:ascii="Barlow" w:hAnsi="Barlow"/>
              </w:rPr>
              <w:t>Attivazione di tutte le attività di cui sopra del livello base entro il triennio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A254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Atto/i riorganizzativi  </w:t>
            </w:r>
          </w:p>
          <w:p w14:paraId="2E40F650" w14:textId="6F28E6AC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(</w:t>
            </w:r>
            <w:proofErr w:type="gramStart"/>
            <w:r w:rsidRPr="007F2AEE">
              <w:rPr>
                <w:rFonts w:ascii="Barlow" w:hAnsi="Barlow"/>
              </w:rPr>
              <w:t>trasferimento,  comando</w:t>
            </w:r>
            <w:proofErr w:type="gramEnd"/>
            <w:r w:rsidRPr="007F2AEE">
              <w:rPr>
                <w:rFonts w:ascii="Barlow" w:hAnsi="Barlow"/>
              </w:rPr>
              <w:t xml:space="preserve"> etc.) /</w:t>
            </w:r>
          </w:p>
          <w:p w14:paraId="4435AFD6" w14:textId="0D36174F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N. Sportelli front-office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9123A" w14:textId="2EB10633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F6F1" w14:textId="64A85F87" w:rsidR="00A42A4F" w:rsidRPr="007F2AEE" w:rsidRDefault="00A42A4F" w:rsidP="00A42A4F">
            <w:pPr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20 %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1423840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A340C" w14:textId="77777777" w:rsidR="00A42A4F" w:rsidRPr="007F2AEE" w:rsidRDefault="00A42A4F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42A4F" w:rsidRPr="007F2AEE" w14:paraId="3CBD6891" w14:textId="77777777" w:rsidTr="00633D59">
        <w:trPr>
          <w:trHeight w:val="340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44D1" w14:textId="77777777" w:rsidR="00A42A4F" w:rsidRPr="007F2AEE" w:rsidRDefault="00000000" w:rsidP="00A42A4F">
            <w:pPr>
              <w:spacing w:after="0" w:line="245" w:lineRule="auto"/>
              <w:rPr>
                <w:rFonts w:ascii="Barlow" w:hAnsi="Barlow"/>
                <w:b/>
                <w:bCs/>
                <w:color w:val="2F5496" w:themeColor="accent1" w:themeShade="BF"/>
              </w:rPr>
            </w:pPr>
            <w:sdt>
              <w:sdtPr>
                <w:rPr>
                  <w:rFonts w:ascii="Barlow" w:hAnsi="Barlow" w:cs="Times New Roman"/>
                  <w:color w:val="2F5496" w:themeColor="accent1" w:themeShade="BF"/>
                  <w:shd w:val="clear" w:color="auto" w:fill="E6E6E6"/>
                </w:rPr>
                <w:id w:val="-15757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A4F" w:rsidRPr="007F2AEE">
                  <w:rPr>
                    <w:rFonts w:ascii="Barlow" w:hAnsi="Barlow"/>
                    <w:b/>
                    <w:bCs/>
                    <w:color w:val="2F5496" w:themeColor="accent1" w:themeShade="BF"/>
                  </w:rPr>
                  <w:t>A</w:t>
                </w:r>
              </w:sdtContent>
            </w:sdt>
            <w:r w:rsidR="00A42A4F"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zioni di consolidamento della funzione (livello avanzato)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D340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  <w:color w:val="2F5496" w:themeColor="accent1" w:themeShade="BF"/>
              </w:rPr>
            </w:pPr>
            <w:r w:rsidRPr="007F2AEE">
              <w:rPr>
                <w:rFonts w:ascii="Barlow" w:hAnsi="Barlow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742979" w14:textId="6887B35E" w:rsidR="00A42A4F" w:rsidRPr="007F2AEE" w:rsidRDefault="00A42A4F" w:rsidP="002F5195">
            <w:pPr>
              <w:spacing w:after="0" w:line="245" w:lineRule="auto"/>
              <w:jc w:val="center"/>
              <w:rPr>
                <w:rFonts w:ascii="Barlow" w:hAnsi="Barlow"/>
                <w:color w:val="2F5496" w:themeColor="accent1" w:themeShade="BF"/>
              </w:rPr>
            </w:pPr>
            <w:r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 w:rsidR="002F5195"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e</w:t>
            </w:r>
            <w:r w:rsidRPr="007F2AEE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link dell’atto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DE06" w14:textId="428C1A63" w:rsidR="00A42A4F" w:rsidRPr="007F2AEE" w:rsidRDefault="002F5195" w:rsidP="00A42A4F">
            <w:pPr>
              <w:spacing w:after="0" w:line="245" w:lineRule="auto"/>
              <w:jc w:val="center"/>
              <w:rPr>
                <w:rFonts w:ascii="Barlow" w:hAnsi="Barlow"/>
                <w:noProof/>
                <w:color w:val="2F5496" w:themeColor="accent1" w:themeShade="BF"/>
              </w:rPr>
            </w:pPr>
            <w:r w:rsidRPr="007F2AEE">
              <w:rPr>
                <w:rFonts w:ascii="Barlow" w:hAnsi="Barlow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A42A4F" w:rsidRPr="007F2AEE" w14:paraId="529093FC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5B17" w14:textId="13C5C15B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Nomina responsabile unico della funzione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6815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Atto nomina              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C898" w14:textId="77777777" w:rsidR="00A42A4F" w:rsidRPr="007F2AEE" w:rsidRDefault="00A42A4F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3654" w14:textId="77777777" w:rsidR="00A42A4F" w:rsidRPr="007F2AEE" w:rsidRDefault="00A42A4F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5%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5707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9F673" w14:textId="55717FC8" w:rsidR="00A42A4F" w:rsidRPr="007F2AEE" w:rsidRDefault="0062194B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MS Gothic" w:eastAsia="MS Gothic" w:hAnsi="MS Gothic" w:cs="Times New Roman" w:hint="eastAsia"/>
                    <w:color w:val="2F5496" w:themeColor="accent1" w:themeShade="BF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A42A4F" w:rsidRPr="007F2AEE" w14:paraId="45F8F567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0E34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  <w:b/>
                <w:bCs/>
                <w:color w:val="1F3864"/>
              </w:rPr>
            </w:pPr>
            <w:r w:rsidRPr="007F2AEE">
              <w:rPr>
                <w:rFonts w:ascii="Barlow" w:hAnsi="Barlow"/>
              </w:rPr>
              <w:t>Attività regolamentare in materia di ambiente ed energia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AAB2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Atti amministrativi      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4549" w14:textId="77777777" w:rsidR="00A42A4F" w:rsidRPr="007F2AEE" w:rsidRDefault="00A42A4F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B418" w14:textId="77777777" w:rsidR="00A42A4F" w:rsidRPr="007F2AEE" w:rsidRDefault="00A42A4F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3%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973334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F3EDDC" w14:textId="77777777" w:rsidR="00A42A4F" w:rsidRPr="007F2AEE" w:rsidRDefault="00A42A4F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42A4F" w:rsidRPr="007F2AEE" w14:paraId="63FE4B6C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3A25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  <w:b/>
                <w:bCs/>
                <w:color w:val="1F3864"/>
              </w:rPr>
            </w:pPr>
            <w:r w:rsidRPr="007F2AEE">
              <w:rPr>
                <w:rFonts w:ascii="Barlow" w:hAnsi="Barlow"/>
              </w:rPr>
              <w:t>Attività di gestione in materia di rifiuti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9374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Atti/modelli gestionali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A647" w14:textId="77777777" w:rsidR="00A42A4F" w:rsidRPr="007F2AEE" w:rsidRDefault="00A42A4F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C32B" w14:textId="77777777" w:rsidR="00A42A4F" w:rsidRPr="007F2AEE" w:rsidRDefault="00A42A4F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2%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1632325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BE0624" w14:textId="77777777" w:rsidR="00A42A4F" w:rsidRPr="007F2AEE" w:rsidRDefault="00A42A4F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42A4F" w:rsidRPr="007F2AEE" w14:paraId="074C800C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5EDA" w14:textId="0E64FD4A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Nomina Energy manager anche in collaborazione tra più enti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AB41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Atto nomina               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E98E" w14:textId="77777777" w:rsidR="00A42A4F" w:rsidRPr="007F2AEE" w:rsidRDefault="00A42A4F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B9B0" w14:textId="77777777" w:rsidR="00A42A4F" w:rsidRPr="007F2AEE" w:rsidRDefault="00A42A4F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5%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-572501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16B42" w14:textId="77777777" w:rsidR="00A42A4F" w:rsidRPr="007F2AEE" w:rsidRDefault="00A42A4F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42A4F" w:rsidRPr="007F2AEE" w14:paraId="072FCD38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0143" w14:textId="07CE73B2" w:rsidR="00A42A4F" w:rsidRPr="007F2AEE" w:rsidRDefault="00A42A4F" w:rsidP="00A42A4F">
            <w:pPr>
              <w:widowControl w:val="0"/>
              <w:tabs>
                <w:tab w:val="left" w:pos="-5784"/>
                <w:tab w:val="left" w:pos="-3864"/>
              </w:tabs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Redazione piano energetico – PAESC Unione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3F5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 xml:space="preserve">Atto amministrativo      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45D1" w14:textId="77777777" w:rsidR="00A42A4F" w:rsidRPr="007F2AEE" w:rsidRDefault="00A42A4F" w:rsidP="00A42A4F">
            <w:pPr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EA3" w14:textId="77777777" w:rsidR="00A42A4F" w:rsidRPr="007F2AEE" w:rsidRDefault="00A42A4F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7F2AEE">
              <w:rPr>
                <w:rFonts w:ascii="Barlow" w:hAnsi="Barlow"/>
              </w:rPr>
              <w:t>5%</w:t>
            </w:r>
          </w:p>
        </w:tc>
        <w:tc>
          <w:tcPr>
            <w:tcW w:w="709" w:type="dxa"/>
          </w:tcPr>
          <w:sdt>
            <w:sdtPr>
              <w:rPr>
                <w:rFonts w:ascii="Barlow" w:hAnsi="Barlow" w:cs="Times New Roman"/>
                <w:color w:val="2F5496" w:themeColor="accent1" w:themeShade="BF"/>
                <w:shd w:val="clear" w:color="auto" w:fill="E6E6E6"/>
              </w:rPr>
              <w:id w:val="50070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1C427E" w14:textId="77777777" w:rsidR="00A42A4F" w:rsidRPr="007F2AEE" w:rsidRDefault="00A42A4F" w:rsidP="00A42A4F">
                <w:pPr>
                  <w:spacing w:after="0" w:line="245" w:lineRule="auto"/>
                  <w:jc w:val="center"/>
                  <w:rPr>
                    <w:rFonts w:ascii="Barlow" w:hAnsi="Barlow"/>
                    <w:noProof/>
                    <w:color w:val="2F5496" w:themeColor="accent1" w:themeShade="BF"/>
                  </w:rPr>
                </w:pPr>
                <w:r w:rsidRPr="007F2AEE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42A4F" w:rsidRPr="007F2AEE" w14:paraId="7EB5457C" w14:textId="77777777" w:rsidTr="00071227">
        <w:trPr>
          <w:trHeight w:val="567"/>
        </w:trPr>
        <w:tc>
          <w:tcPr>
            <w:tcW w:w="6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911E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  <w:strike/>
              </w:rPr>
            </w:pPr>
          </w:p>
        </w:tc>
        <w:tc>
          <w:tcPr>
            <w:tcW w:w="63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1971" w14:textId="77777777" w:rsidR="00A42A4F" w:rsidRPr="007F2AEE" w:rsidRDefault="00A42A4F" w:rsidP="00A42A4F">
            <w:pPr>
              <w:spacing w:after="0" w:line="245" w:lineRule="auto"/>
              <w:rPr>
                <w:rFonts w:ascii="Barlow" w:hAnsi="Barlow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F352" w14:textId="700C3FA3" w:rsidR="00A42A4F" w:rsidRPr="007F2AEE" w:rsidRDefault="001625C7" w:rsidP="00A42A4F">
            <w:pPr>
              <w:spacing w:after="0" w:line="245" w:lineRule="auto"/>
              <w:jc w:val="center"/>
              <w:rPr>
                <w:rFonts w:ascii="Barlow" w:hAnsi="Barlow"/>
              </w:rPr>
            </w:pPr>
            <w:r w:rsidRPr="0092626C">
              <w:rPr>
                <w:rFonts w:ascii="Barlow" w:eastAsia="Times New Roman" w:hAnsi="Barlow" w:cs="Segoe UI"/>
                <w:lang w:eastAsia="it-IT"/>
              </w:rPr>
              <w:t>Totale</w:t>
            </w:r>
            <w:r>
              <w:rPr>
                <w:rFonts w:ascii="Barlow" w:eastAsia="Times New Roman" w:hAnsi="Barlow" w:cs="Segoe UI"/>
                <w:lang w:eastAsia="it-IT"/>
              </w:rPr>
              <w:t xml:space="preserve"> </w:t>
            </w:r>
            <w:r w:rsidRPr="0092626C">
              <w:rPr>
                <w:rFonts w:ascii="Barlow" w:eastAsia="Times New Roman" w:hAnsi="Barlow" w:cs="Segoe UI"/>
                <w:lang w:eastAsia="it-IT"/>
              </w:rPr>
              <w:t>100% punteggio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6097" w14:textId="77777777" w:rsidR="00A42A4F" w:rsidRPr="007F2AEE" w:rsidRDefault="00A42A4F" w:rsidP="00A42A4F">
            <w:pPr>
              <w:jc w:val="center"/>
              <w:rPr>
                <w:rFonts w:ascii="Barlow" w:hAnsi="Barlow"/>
                <w:noProof/>
              </w:rPr>
            </w:pPr>
          </w:p>
        </w:tc>
      </w:tr>
    </w:tbl>
    <w:p w14:paraId="123BED11" w14:textId="3DAF9EBF" w:rsidR="001927C6" w:rsidRPr="007F2AEE" w:rsidRDefault="00113EB0">
      <w:r w:rsidRPr="007F2AEE">
        <w:br w:type="textWrapping" w:clear="all"/>
      </w:r>
    </w:p>
    <w:p w14:paraId="6EF8C4E5" w14:textId="77777777" w:rsidR="0091598F" w:rsidRPr="007F2AEE" w:rsidRDefault="0091598F"/>
    <w:p w14:paraId="33A4A12A" w14:textId="77777777" w:rsidR="0091598F" w:rsidRPr="007F2AEE" w:rsidRDefault="0091598F"/>
    <w:sectPr w:rsidR="0091598F" w:rsidRPr="007F2AEE" w:rsidSect="000232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1D4B7" w14:textId="77777777" w:rsidR="00EF7F61" w:rsidRDefault="00EF7F61" w:rsidP="00D51A52">
      <w:pPr>
        <w:spacing w:after="0" w:line="240" w:lineRule="auto"/>
      </w:pPr>
      <w:r>
        <w:separator/>
      </w:r>
    </w:p>
  </w:endnote>
  <w:endnote w:type="continuationSeparator" w:id="0">
    <w:p w14:paraId="6546E9CD" w14:textId="77777777" w:rsidR="00EF7F61" w:rsidRDefault="00EF7F61" w:rsidP="00D51A52">
      <w:pPr>
        <w:spacing w:after="0" w:line="240" w:lineRule="auto"/>
      </w:pPr>
      <w:r>
        <w:continuationSeparator/>
      </w:r>
    </w:p>
  </w:endnote>
  <w:endnote w:type="continuationNotice" w:id="1">
    <w:p w14:paraId="2B165E06" w14:textId="77777777" w:rsidR="00EF7F61" w:rsidRDefault="00EF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charset w:val="4D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CAA44" w14:textId="77777777" w:rsidR="00EF7F61" w:rsidRDefault="00EF7F61" w:rsidP="00D51A52">
      <w:pPr>
        <w:spacing w:after="0" w:line="240" w:lineRule="auto"/>
      </w:pPr>
      <w:r>
        <w:separator/>
      </w:r>
    </w:p>
  </w:footnote>
  <w:footnote w:type="continuationSeparator" w:id="0">
    <w:p w14:paraId="085499B5" w14:textId="77777777" w:rsidR="00EF7F61" w:rsidRDefault="00EF7F61" w:rsidP="00D51A52">
      <w:pPr>
        <w:spacing w:after="0" w:line="240" w:lineRule="auto"/>
      </w:pPr>
      <w:r>
        <w:continuationSeparator/>
      </w:r>
    </w:p>
  </w:footnote>
  <w:footnote w:type="continuationNotice" w:id="1">
    <w:p w14:paraId="0B59CD6A" w14:textId="77777777" w:rsidR="00EF7F61" w:rsidRDefault="00EF7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02D2"/>
    <w:multiLevelType w:val="hybridMultilevel"/>
    <w:tmpl w:val="523C2384"/>
    <w:lvl w:ilvl="0" w:tplc="16D2C4F4">
      <w:start w:val="16"/>
      <w:numFmt w:val="bullet"/>
      <w:lvlText w:val="-"/>
      <w:lvlJc w:val="left"/>
      <w:pPr>
        <w:ind w:left="720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5603">
    <w:abstractNumId w:val="0"/>
  </w:num>
  <w:num w:numId="2" w16cid:durableId="938877142">
    <w:abstractNumId w:val="1"/>
  </w:num>
  <w:num w:numId="3" w16cid:durableId="91077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54"/>
    <w:rsid w:val="000232E8"/>
    <w:rsid w:val="00071227"/>
    <w:rsid w:val="000C39B8"/>
    <w:rsid w:val="000C6E7E"/>
    <w:rsid w:val="000D43C8"/>
    <w:rsid w:val="000E4CFD"/>
    <w:rsid w:val="00113EB0"/>
    <w:rsid w:val="00116A90"/>
    <w:rsid w:val="00117B62"/>
    <w:rsid w:val="00135F63"/>
    <w:rsid w:val="00137FA9"/>
    <w:rsid w:val="001625C7"/>
    <w:rsid w:val="00185E6E"/>
    <w:rsid w:val="001927C6"/>
    <w:rsid w:val="001D6954"/>
    <w:rsid w:val="001E50EC"/>
    <w:rsid w:val="001F410F"/>
    <w:rsid w:val="002C5C40"/>
    <w:rsid w:val="002F5195"/>
    <w:rsid w:val="003104B8"/>
    <w:rsid w:val="00381FF8"/>
    <w:rsid w:val="003B0C7A"/>
    <w:rsid w:val="003C1C1E"/>
    <w:rsid w:val="003F337E"/>
    <w:rsid w:val="0043058A"/>
    <w:rsid w:val="00451E82"/>
    <w:rsid w:val="00461AAB"/>
    <w:rsid w:val="004D0A65"/>
    <w:rsid w:val="004E71EA"/>
    <w:rsid w:val="00514AB3"/>
    <w:rsid w:val="00520472"/>
    <w:rsid w:val="00586294"/>
    <w:rsid w:val="005F2AE7"/>
    <w:rsid w:val="0062194B"/>
    <w:rsid w:val="006256AD"/>
    <w:rsid w:val="00633D59"/>
    <w:rsid w:val="006621B7"/>
    <w:rsid w:val="00745DB4"/>
    <w:rsid w:val="007610E2"/>
    <w:rsid w:val="00762302"/>
    <w:rsid w:val="007F2AEE"/>
    <w:rsid w:val="0085648F"/>
    <w:rsid w:val="00891D05"/>
    <w:rsid w:val="008B2FC5"/>
    <w:rsid w:val="0091598F"/>
    <w:rsid w:val="009344A4"/>
    <w:rsid w:val="0094486C"/>
    <w:rsid w:val="00955D2B"/>
    <w:rsid w:val="009B7F35"/>
    <w:rsid w:val="009C1853"/>
    <w:rsid w:val="009C586B"/>
    <w:rsid w:val="009E3719"/>
    <w:rsid w:val="00A02854"/>
    <w:rsid w:val="00A42A4F"/>
    <w:rsid w:val="00A476EA"/>
    <w:rsid w:val="00AE61F3"/>
    <w:rsid w:val="00B51393"/>
    <w:rsid w:val="00B5221A"/>
    <w:rsid w:val="00B61F0B"/>
    <w:rsid w:val="00B81FA8"/>
    <w:rsid w:val="00BC63F3"/>
    <w:rsid w:val="00C00741"/>
    <w:rsid w:val="00C0458D"/>
    <w:rsid w:val="00C14FFC"/>
    <w:rsid w:val="00C35166"/>
    <w:rsid w:val="00C60F8D"/>
    <w:rsid w:val="00C662A6"/>
    <w:rsid w:val="00CC7916"/>
    <w:rsid w:val="00D30EA6"/>
    <w:rsid w:val="00D51A52"/>
    <w:rsid w:val="00DE40B3"/>
    <w:rsid w:val="00E11191"/>
    <w:rsid w:val="00E65FC0"/>
    <w:rsid w:val="00EB1BBD"/>
    <w:rsid w:val="00EB36CB"/>
    <w:rsid w:val="00ED6F2A"/>
    <w:rsid w:val="00EF7F61"/>
    <w:rsid w:val="00F31CC1"/>
    <w:rsid w:val="00F351DD"/>
    <w:rsid w:val="00F42DB5"/>
    <w:rsid w:val="00F551D1"/>
    <w:rsid w:val="00F562B5"/>
    <w:rsid w:val="00F869C0"/>
    <w:rsid w:val="00FA186B"/>
    <w:rsid w:val="00FE023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D05"/>
  <w15:chartTrackingRefBased/>
  <w15:docId w15:val="{5BFDB8DA-78E6-41B0-ABF8-65D7E5E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A5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A52"/>
    <w:pPr>
      <w:ind w:left="720"/>
      <w:contextualSpacing/>
    </w:pPr>
    <w:rPr>
      <w:rFonts w:ascii="Barlow SemiBold" w:hAnsi="Barlow SemiBold"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1A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1A52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unhideWhenUsed/>
    <w:rsid w:val="00D51A5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51A5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159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17B62"/>
    <w:pPr>
      <w:spacing w:after="0" w:line="240" w:lineRule="auto"/>
    </w:pPr>
    <w:rPr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AAB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1AAB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551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51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51D1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1D1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1F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1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tonomie.regione.emilia-romagna.it/unioni-di-comuni/programma-di-riordino-territoriale/prt-2024-2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D6A9C-E5FE-4A1E-B501-114A462E4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874A5-C393-4837-B665-2DA2AA3FB2DF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3.xml><?xml version="1.0" encoding="utf-8"?>
<ds:datastoreItem xmlns:ds="http://schemas.openxmlformats.org/officeDocument/2006/customXml" ds:itemID="{91BEC6E2-24C6-49B1-A9B2-EDCCE422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521</Words>
  <Characters>2972</Characters>
  <Application>Microsoft Office Word</Application>
  <DocSecurity>0</DocSecurity>
  <Lines>24</Lines>
  <Paragraphs>6</Paragraphs>
  <ScaleCrop>false</ScaleCrop>
  <Company>Regione Emilia-Romagna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cp:keywords/>
  <dc:description/>
  <cp:lastModifiedBy>De Giorgi Irene</cp:lastModifiedBy>
  <cp:revision>58</cp:revision>
  <dcterms:created xsi:type="dcterms:W3CDTF">2023-10-17T18:09:00Z</dcterms:created>
  <dcterms:modified xsi:type="dcterms:W3CDTF">2024-06-14T09:47:00Z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MediaServiceImageTags">
    <vt:lpwstr/>
  </property>
</Properties>
</file>